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52"/>
          <w:szCs w:val="52"/>
          <w:rtl w:val="0"/>
        </w:rPr>
        <w:t xml:space="preserve">Nat Slater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Bloomfield, NJ  |  973-666-0453  | 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natslater95@gmail.com</w:t>
        </w:r>
      </w:hyperlink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natux.design</w:t>
        </w:r>
      </w:hyperlink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  |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a1a1a" w:space="1" w:sz="6" w:val="single"/>
        </w:pBd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Lead Product Designer with 10+ years delivering user-centered solutions at Fortune 500 companies including Verizon, AT&amp;T, Amazon, Prudential, Ford, and LG Electronics. Expert in end-to-end product design across web and mobile — from research and strategy through high-fidelity delivery. Proven track record building design systems at scale, mentoring design teams, and driving measurable business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a1a1a" w:space="1" w:sz="6" w:val="single"/>
        </w:pBd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Core UX &amp; Product Design: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User Research, Usability Testing, Journey Mapping, Personas, Wireframing, Prototyping, Interaction Design, Visual Design, Information Architecture, Accessibility (WCAG 2.1/2.2)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Strategy &amp; Leadership: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Strategic Design, Workshops &amp; Facilitation, Cross-functional Collaboration, Mentorship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Design Systems: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Design Systems, Design Thinking, Agile/Scrum, Lean UX, Inclusive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Design Tools: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Figma, Sketch, Adobe Creative Suite, Miro, FigJam, InVision, Zeplin, Framer, ProtoPie, Storybook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Research &amp; Testing: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A/B Testing, Maze, UserTesting, Hotjar, Microsoft Clarity, Optimal Workshop, WAVE, Stark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Data &amp; Analytics: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Google Analytics 4, Amplitude, Mixpanel, Tableau, Looker, SQL (Basic), Heatmap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AI-Augmented Design: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Figma AI, Galileo AI, Uizard, ChatGPT, Gemini, Midjourney, DALL·E, Stable Diffusion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Dev &amp; Collaboration: 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HTML/CSS, React (Basics), GitHub, Jira, Confluence, Notion, Productboard, Dovetail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1a1a1a" w:space="1" w:sz="6" w:val="single"/>
        </w:pBd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9360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Verizon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Jul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Lead Product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Leading end-to-end product design for BYOD experiences across web and mobile, from concept through production-ready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Navigating ambiguous problem spaces to redefine B2B onboarding and device configuration journeys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Designing AI-powered features including Scan IMEI and auto-configuration to streamline user workflows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Partnering with product, engineering, and research to align on strategy and deliver scalable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Driving stakeholder alignment across business units while mentoring designers on systems thinking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AT&amp;T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Nov 2022 – Jun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Senior Product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Owned end-to-end CX design for native apps serving 50M+ users, from research through high-fidelity execution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Increased engagement by 35% and reduced support tickets by 28% through data-informed design using analytics, A/B testing, and user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Collaborated cross-functionally to define product direction and deliver intuitive, scalable user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Translated complex requirements into streamlined user journeys across multiple touchpoints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Amazon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May 2022 – Oct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Senior Product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Designed enterprise B2B dashboards for AWS marketing budget allocation, creating scalable data visualization systems improving visibility across business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Built campaign and budget management interfaces translating complex financial data into actionable insights, mirroring AdTech workflows including budget pacing, yield tracking, and performance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Architected end-to-end user flows for budget lifecycle management — allocation requests, approvals, real-time monitoring, and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Collaborated with engineering teams to streamline workflows, increasing feature adoption by 22%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Prudential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May 2021 – Apr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Sr. UX/UI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Led strategic redesign of PruXpress, a $44.2B business platform, transforming ambiguous requirements into clear product 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Built and scaled a design system adopted by 8+ teams, reducing design-to-development handoff time by 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Facilitated workshops and stakeholder sessions to align cross-functional teams on product direction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360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Ford Motor Company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Aug 2020 – Apr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User Experience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Designed data-intensive dashboards for telematics and reporting, improving real-time monitoring and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Reduced reporting time by 60% and improved task completion by 45% through data-informed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Collaborated with engineering and product teams to deliver predictive analytics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360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LG Electronics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May 2019 – Apr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Sr. UX/UI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Delivered mobile-first UX solutions improving conversion rates by 38% through iterative design, testing, and optimization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Designed end-to-end customer journeys across purchase, registration, and retention flows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360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Verizon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May 2016 – Apr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UX &amp; Visual Design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Led end-to-end design for enterprise and consumer HR products, from discovery to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Established scalable UI patterns and contributed to early design system foundations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Increased employee satisfaction scores by 42% through improved product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360"/>
        </w:tabs>
        <w:spacing w:after="3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DotcomWeavers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May 2014 – Apr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20"/>
          <w:szCs w:val="20"/>
          <w:rtl w:val="0"/>
        </w:rPr>
        <w:t xml:space="preserve">UX &amp; Visual Design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Increased UX adoption by 65% through stakeholder 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4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Built UX frameworks and research methodologies adopted across client engagements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1a1a1a" w:space="1" w:sz="6" w:val="single"/>
        </w:pBd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BFA, Design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  —  School of Visual Arts, 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" w:before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AOS, Graphic Design</w:t>
      </w: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  —  Pratt Institute, 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1a1a1a" w:space="1" w:sz="6" w:val="single"/>
        </w:pBdr>
        <w:spacing w:after="60" w:before="1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" w:before="80" w:lineRule="auto"/>
        <w:rPr/>
      </w:pPr>
      <w:r w:rsidDel="00000000" w:rsidR="00000000" w:rsidRPr="00000000">
        <w:rPr>
          <w:rFonts w:ascii="Arial" w:cs="Arial" w:eastAsia="Arial" w:hAnsi="Arial"/>
          <w:color w:val="1a1a1a"/>
          <w:sz w:val="20"/>
          <w:szCs w:val="20"/>
          <w:rtl w:val="0"/>
        </w:rPr>
        <w:t xml:space="preserve">UX Research (101 Course)  —  General Assembly, 2017–2018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40" w:hanging="2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tslater95@gmail.com" TargetMode="External"/><Relationship Id="rId7" Type="http://schemas.openxmlformats.org/officeDocument/2006/relationships/hyperlink" Target="https://www.natux.design" TargetMode="External"/><Relationship Id="rId8" Type="http://schemas.openxmlformats.org/officeDocument/2006/relationships/hyperlink" Target="https://www.linkedin.com/in/nat-slater-desig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